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0B" w:rsidRPr="00E2700B" w:rsidRDefault="00A70DDD" w:rsidP="00484F8C">
      <w:pPr>
        <w:rPr>
          <w:rFonts w:ascii="Calibri" w:eastAsia="Times New Roman" w:hAnsi="Calibri"/>
          <w:b/>
          <w:sz w:val="22"/>
          <w:szCs w:val="22"/>
        </w:rPr>
      </w:pPr>
      <w:bookmarkStart w:id="0" w:name="_GoBack"/>
      <w:bookmarkEnd w:id="0"/>
      <w:r>
        <w:rPr>
          <w:rFonts w:ascii="Calibri" w:eastAsia="Times New Roman" w:hAnsi="Calibri"/>
          <w:b/>
          <w:sz w:val="22"/>
          <w:szCs w:val="22"/>
        </w:rPr>
        <w:t xml:space="preserve">COMMENTS ON </w:t>
      </w:r>
      <w:r>
        <w:rPr>
          <w:rFonts w:ascii="Calibri" w:eastAsia="Times New Roman" w:hAnsi="Calibri"/>
          <w:b/>
          <w:sz w:val="22"/>
          <w:szCs w:val="22"/>
        </w:rPr>
        <w:t>INVOLVING PEOPLE IN PLANNING:  DECEMBER 2013</w:t>
      </w:r>
    </w:p>
    <w:p w:rsidR="00E2700B" w:rsidRDefault="00A70DDD" w:rsidP="00484F8C">
      <w:pPr>
        <w:rPr>
          <w:rFonts w:ascii="Calibri" w:eastAsia="Times New Roman" w:hAnsi="Calibri"/>
          <w:sz w:val="22"/>
          <w:szCs w:val="22"/>
        </w:rPr>
      </w:pPr>
    </w:p>
    <w:p w:rsidR="00484F8C" w:rsidRDefault="00484F8C" w:rsidP="00484F8C">
      <w:pPr>
        <w:rPr>
          <w:rFonts w:eastAsia="Times New Roman"/>
        </w:rPr>
      </w:pPr>
      <w:r>
        <w:rPr>
          <w:rFonts w:ascii="Calibri" w:eastAsia="Times New Roman" w:hAnsi="Calibri"/>
          <w:sz w:val="22"/>
          <w:szCs w:val="22"/>
        </w:rPr>
        <w:t>In reading through the document we realise why it seems limited in its view of involvement. Its starting point is consultation, which is only part of what involvement is about.</w:t>
      </w:r>
      <w:r>
        <w:rPr>
          <w:rFonts w:ascii="Calibri" w:eastAsia="Times New Roman" w:hAnsi="Calibri"/>
          <w:sz w:val="22"/>
          <w:szCs w:val="22"/>
        </w:rPr>
        <w:br/>
      </w:r>
      <w:r>
        <w:rPr>
          <w:rFonts w:ascii="Calibri" w:eastAsia="Times New Roman" w:hAnsi="Calibri"/>
          <w:sz w:val="22"/>
          <w:szCs w:val="22"/>
        </w:rPr>
        <w:br/>
        <w:t xml:space="preserve">To make involvement work, the document needs to spell out the obligations on the Council and the rights of residents/citizens. These are a mixture of legal obligations on the Council through the Planning Acts, various other Acts (eg Access to Information, Freedom of Information) and treaties (eg the Aalborg Treaty) that give citizens rights to access information and to participate in the decision-making process. These are summarised in various parts of the Council’s Constitution and various other documents. However, whilst the Constitution could be characterised as “accessible”, the fact is that no one seems to know about it, including most members and officers, and is very difficult find the relevant parts without direct weblinks. There is a reference in paragraph 5 and footnote 10 – but </w:t>
      </w:r>
      <w:r>
        <w:rPr>
          <w:rFonts w:ascii="Calibri" w:eastAsia="Times New Roman" w:hAnsi="Calibri"/>
          <w:b/>
          <w:bCs/>
          <w:sz w:val="22"/>
          <w:szCs w:val="22"/>
        </w:rPr>
        <w:t>this needs elaborating in an annex</w:t>
      </w:r>
      <w:r>
        <w:rPr>
          <w:rFonts w:ascii="Calibri" w:eastAsia="Times New Roman" w:hAnsi="Calibri"/>
          <w:sz w:val="22"/>
          <w:szCs w:val="22"/>
        </w:rPr>
        <w:t>.</w:t>
      </w:r>
      <w:r>
        <w:rPr>
          <w:rFonts w:ascii="Calibri" w:eastAsia="Times New Roman" w:hAnsi="Calibri"/>
          <w:sz w:val="22"/>
          <w:szCs w:val="22"/>
        </w:rPr>
        <w:br/>
      </w:r>
      <w:r>
        <w:rPr>
          <w:rFonts w:ascii="Calibri" w:eastAsia="Times New Roman" w:hAnsi="Calibri"/>
          <w:sz w:val="22"/>
          <w:szCs w:val="22"/>
        </w:rPr>
        <w:br/>
      </w:r>
      <w:r>
        <w:rPr>
          <w:rFonts w:ascii="Calibri" w:eastAsia="Times New Roman" w:hAnsi="Calibri"/>
          <w:b/>
          <w:bCs/>
          <w:sz w:val="22"/>
          <w:szCs w:val="22"/>
        </w:rPr>
        <w:t>Suggested additions:</w:t>
      </w:r>
      <w:r>
        <w:rPr>
          <w:rFonts w:ascii="Calibri" w:eastAsia="Times New Roman" w:hAnsi="Calibri"/>
          <w:b/>
          <w:bCs/>
          <w:sz w:val="22"/>
          <w:szCs w:val="22"/>
        </w:rPr>
        <w:br/>
      </w:r>
      <w:r>
        <w:rPr>
          <w:rFonts w:ascii="Calibri" w:eastAsia="Times New Roman" w:hAnsi="Calibri"/>
          <w:sz w:val="22"/>
          <w:szCs w:val="22"/>
        </w:rPr>
        <w:br/>
        <w:t xml:space="preserve">An </w:t>
      </w:r>
      <w:r>
        <w:rPr>
          <w:rFonts w:ascii="Calibri" w:eastAsia="Times New Roman" w:hAnsi="Calibri"/>
          <w:b/>
          <w:bCs/>
          <w:sz w:val="22"/>
          <w:szCs w:val="22"/>
        </w:rPr>
        <w:t xml:space="preserve">annex of the Council’s obligations and residents’ rights </w:t>
      </w:r>
      <w:r>
        <w:rPr>
          <w:rFonts w:ascii="Calibri" w:eastAsia="Times New Roman" w:hAnsi="Calibri"/>
          <w:sz w:val="22"/>
          <w:szCs w:val="22"/>
        </w:rPr>
        <w:t>to present what residents should be able to expect to help them get involved, including Access to Information, Freedom of Information and Access to Environmental Information.</w:t>
      </w:r>
    </w:p>
    <w:p w:rsidR="00484F8C" w:rsidRDefault="00484F8C" w:rsidP="00484F8C">
      <w:pPr>
        <w:numPr>
          <w:ilvl w:val="0"/>
          <w:numId w:val="1"/>
        </w:numPr>
        <w:rPr>
          <w:rFonts w:eastAsia="Times New Roman"/>
        </w:rPr>
      </w:pPr>
      <w:r>
        <w:rPr>
          <w:rFonts w:ascii="Calibri" w:eastAsia="Times New Roman" w:hAnsi="Calibri"/>
          <w:b/>
          <w:bCs/>
          <w:sz w:val="22"/>
          <w:szCs w:val="22"/>
        </w:rPr>
        <w:t>Access to information</w:t>
      </w:r>
      <w:r>
        <w:rPr>
          <w:rFonts w:ascii="Calibri" w:eastAsia="Times New Roman" w:hAnsi="Calibri"/>
          <w:sz w:val="22"/>
          <w:szCs w:val="22"/>
        </w:rPr>
        <w:t xml:space="preserve"> is barely mentioned in the document although, through Access to Information requirements, this is a critical issue and more specific references are needed to set out the Council’s obligations/citizens’ rights (see above):</w:t>
      </w:r>
    </w:p>
    <w:p w:rsidR="00484F8C" w:rsidRDefault="00484F8C" w:rsidP="00484F8C">
      <w:pPr>
        <w:numPr>
          <w:ilvl w:val="1"/>
          <w:numId w:val="1"/>
        </w:numPr>
        <w:rPr>
          <w:rFonts w:eastAsia="Times New Roman"/>
        </w:rPr>
      </w:pPr>
      <w:r>
        <w:rPr>
          <w:rFonts w:ascii="Calibri" w:eastAsia="Times New Roman" w:hAnsi="Calibri"/>
          <w:sz w:val="22"/>
          <w:szCs w:val="22"/>
        </w:rPr>
        <w:t xml:space="preserve">applications – all relevant information </w:t>
      </w:r>
    </w:p>
    <w:p w:rsidR="00484F8C" w:rsidRDefault="00484F8C" w:rsidP="00484F8C">
      <w:pPr>
        <w:numPr>
          <w:ilvl w:val="1"/>
          <w:numId w:val="1"/>
        </w:numPr>
        <w:rPr>
          <w:rFonts w:eastAsia="Times New Roman"/>
        </w:rPr>
      </w:pPr>
      <w:r>
        <w:rPr>
          <w:rFonts w:ascii="Calibri" w:eastAsia="Times New Roman" w:hAnsi="Calibri"/>
          <w:sz w:val="22"/>
          <w:szCs w:val="22"/>
        </w:rPr>
        <w:t xml:space="preserve">Committee agenda and officer’s reports </w:t>
      </w:r>
    </w:p>
    <w:p w:rsidR="00484F8C" w:rsidRDefault="00484F8C" w:rsidP="00484F8C">
      <w:pPr>
        <w:numPr>
          <w:ilvl w:val="1"/>
          <w:numId w:val="1"/>
        </w:numPr>
        <w:rPr>
          <w:rFonts w:eastAsia="Times New Roman"/>
        </w:rPr>
      </w:pPr>
      <w:r>
        <w:rPr>
          <w:rFonts w:ascii="Calibri" w:eastAsia="Times New Roman" w:hAnsi="Calibri"/>
          <w:sz w:val="22"/>
          <w:szCs w:val="22"/>
        </w:rPr>
        <w:t xml:space="preserve">background information to the preparation of these reports – ie the case file </w:t>
      </w:r>
    </w:p>
    <w:p w:rsidR="00484F8C" w:rsidRDefault="00484F8C" w:rsidP="00484F8C">
      <w:pPr>
        <w:numPr>
          <w:ilvl w:val="1"/>
          <w:numId w:val="1"/>
        </w:numPr>
        <w:rPr>
          <w:rFonts w:eastAsia="Times New Roman"/>
        </w:rPr>
      </w:pPr>
      <w:r>
        <w:rPr>
          <w:rFonts w:ascii="Calibri" w:eastAsia="Times New Roman" w:hAnsi="Calibri"/>
          <w:sz w:val="22"/>
          <w:szCs w:val="22"/>
        </w:rPr>
        <w:t xml:space="preserve">decisions </w:t>
      </w:r>
    </w:p>
    <w:p w:rsidR="00484F8C" w:rsidRDefault="00484F8C" w:rsidP="00484F8C">
      <w:pPr>
        <w:numPr>
          <w:ilvl w:val="1"/>
          <w:numId w:val="1"/>
        </w:numPr>
        <w:rPr>
          <w:rFonts w:eastAsia="Times New Roman"/>
        </w:rPr>
      </w:pPr>
      <w:r>
        <w:rPr>
          <w:rFonts w:ascii="Calibri" w:eastAsia="Times New Roman" w:hAnsi="Calibri"/>
          <w:sz w:val="22"/>
          <w:szCs w:val="22"/>
        </w:rPr>
        <w:t>monitoring reports</w:t>
      </w:r>
    </w:p>
    <w:p w:rsidR="00484F8C" w:rsidRDefault="00484F8C" w:rsidP="00484F8C">
      <w:pPr>
        <w:numPr>
          <w:ilvl w:val="0"/>
          <w:numId w:val="2"/>
        </w:numPr>
        <w:rPr>
          <w:rFonts w:eastAsia="Times New Roman"/>
        </w:rPr>
      </w:pPr>
      <w:r>
        <w:rPr>
          <w:rFonts w:ascii="Calibri" w:eastAsia="Times New Roman" w:hAnsi="Calibri"/>
          <w:b/>
          <w:bCs/>
          <w:sz w:val="22"/>
          <w:szCs w:val="22"/>
        </w:rPr>
        <w:t>Access to environmental information</w:t>
      </w:r>
      <w:r>
        <w:rPr>
          <w:rFonts w:ascii="Calibri" w:eastAsia="Times New Roman" w:hAnsi="Calibri"/>
          <w:sz w:val="22"/>
          <w:szCs w:val="22"/>
        </w:rPr>
        <w:t xml:space="preserve"> related to planning – where is this set out?</w:t>
      </w:r>
    </w:p>
    <w:p w:rsidR="00484F8C" w:rsidRDefault="00484F8C" w:rsidP="00484F8C">
      <w:pPr>
        <w:numPr>
          <w:ilvl w:val="0"/>
          <w:numId w:val="3"/>
        </w:numPr>
        <w:rPr>
          <w:rFonts w:eastAsia="Times New Roman"/>
        </w:rPr>
      </w:pPr>
      <w:r>
        <w:rPr>
          <w:rFonts w:ascii="Calibri" w:eastAsia="Times New Roman" w:hAnsi="Calibri"/>
          <w:b/>
          <w:bCs/>
          <w:sz w:val="22"/>
          <w:szCs w:val="22"/>
        </w:rPr>
        <w:t>Freedom of Information</w:t>
      </w:r>
      <w:r>
        <w:rPr>
          <w:rFonts w:ascii="Calibri" w:eastAsia="Times New Roman" w:hAnsi="Calibri"/>
          <w:sz w:val="22"/>
          <w:szCs w:val="22"/>
        </w:rPr>
        <w:t xml:space="preserve">:  information can be requested under the Freedom of Information Act </w:t>
      </w:r>
    </w:p>
    <w:p w:rsidR="00484F8C" w:rsidRDefault="00484F8C" w:rsidP="00484F8C">
      <w:pPr>
        <w:rPr>
          <w:rFonts w:ascii="Calibri" w:eastAsia="Times New Roman" w:hAnsi="Calibri"/>
          <w:b/>
          <w:bCs/>
          <w:color w:val="1F497D" w:themeColor="dark2"/>
          <w:sz w:val="22"/>
          <w:szCs w:val="22"/>
        </w:rPr>
      </w:pPr>
    </w:p>
    <w:p w:rsidR="00484F8C" w:rsidRDefault="00484F8C" w:rsidP="00484F8C">
      <w:pPr>
        <w:rPr>
          <w:rFonts w:ascii="Calibri" w:eastAsia="Times New Roman" w:hAnsi="Calibri"/>
          <w:b/>
          <w:bCs/>
          <w:color w:val="1F497D" w:themeColor="dark2"/>
          <w:sz w:val="22"/>
          <w:szCs w:val="22"/>
        </w:rPr>
      </w:pPr>
      <w:r>
        <w:rPr>
          <w:rFonts w:ascii="Calibri" w:eastAsia="Times New Roman" w:hAnsi="Calibri"/>
          <w:b/>
          <w:bCs/>
          <w:sz w:val="22"/>
          <w:szCs w:val="22"/>
        </w:rPr>
        <w:t xml:space="preserve">Weblinks: </w:t>
      </w:r>
    </w:p>
    <w:p w:rsidR="00484F8C" w:rsidRDefault="00484F8C" w:rsidP="00484F8C">
      <w:pPr>
        <w:rPr>
          <w:rFonts w:eastAsia="Times New Roman"/>
        </w:rPr>
      </w:pPr>
      <w:r>
        <w:rPr>
          <w:rFonts w:ascii="Calibri" w:eastAsia="Times New Roman" w:hAnsi="Calibri"/>
          <w:sz w:val="22"/>
          <w:szCs w:val="22"/>
        </w:rPr>
        <w:t xml:space="preserve">It is now common practice to </w:t>
      </w:r>
      <w:r>
        <w:rPr>
          <w:rFonts w:ascii="Calibri" w:eastAsia="Times New Roman" w:hAnsi="Calibri"/>
          <w:b/>
          <w:bCs/>
          <w:sz w:val="22"/>
          <w:szCs w:val="22"/>
        </w:rPr>
        <w:t xml:space="preserve">provide direct/deep weblinks in all documents </w:t>
      </w:r>
      <w:r>
        <w:rPr>
          <w:rFonts w:ascii="Calibri" w:eastAsia="Times New Roman" w:hAnsi="Calibri"/>
          <w:sz w:val="22"/>
          <w:szCs w:val="22"/>
        </w:rPr>
        <w:t xml:space="preserve">to give direct access – omitting links on the basis that the website might change is a very poor excuse. References to the Constitution, for example, are not </w:t>
      </w:r>
      <w:r>
        <w:rPr>
          <w:rFonts w:ascii="Calibri" w:eastAsia="Times New Roman" w:hAnsi="Calibri"/>
          <w:b/>
          <w:sz w:val="22"/>
          <w:szCs w:val="22"/>
        </w:rPr>
        <w:t>very useful as it is presented in fragments and you would need to know what key words to search. There are relatively few places where links are needed. If the Council genuinely wants to encourage involvement or even to facilitate residents</w:t>
      </w:r>
      <w:r>
        <w:rPr>
          <w:rFonts w:ascii="Calibri" w:eastAsia="Times New Roman" w:hAnsi="Calibri"/>
          <w:sz w:val="22"/>
          <w:szCs w:val="22"/>
        </w:rPr>
        <w:t xml:space="preserve"> exercising their rights, the</w:t>
      </w:r>
      <w:r>
        <w:rPr>
          <w:rFonts w:ascii="Calibri" w:eastAsia="Times New Roman" w:hAnsi="Calibri"/>
          <w:sz w:val="22"/>
          <w:szCs w:val="22"/>
        </w:rPr>
        <w:br/>
      </w:r>
      <w:r>
        <w:rPr>
          <w:rFonts w:ascii="Calibri" w:eastAsia="Times New Roman" w:hAnsi="Calibri"/>
          <w:sz w:val="22"/>
          <w:szCs w:val="22"/>
        </w:rPr>
        <w:br/>
      </w:r>
      <w:r>
        <w:rPr>
          <w:rFonts w:ascii="Calibri" w:eastAsia="Times New Roman" w:hAnsi="Calibri"/>
          <w:b/>
          <w:bCs/>
          <w:sz w:val="22"/>
          <w:szCs w:val="22"/>
        </w:rPr>
        <w:t>Involving residents/residents’ associations/amenity societies:</w:t>
      </w:r>
    </w:p>
    <w:p w:rsidR="00484F8C" w:rsidRDefault="00484F8C" w:rsidP="00484F8C">
      <w:pPr>
        <w:numPr>
          <w:ilvl w:val="0"/>
          <w:numId w:val="4"/>
        </w:numPr>
        <w:rPr>
          <w:rFonts w:eastAsia="Times New Roman"/>
        </w:rPr>
      </w:pPr>
      <w:r>
        <w:rPr>
          <w:rFonts w:ascii="Calibri" w:eastAsia="Times New Roman" w:hAnsi="Calibri"/>
          <w:b/>
          <w:bCs/>
          <w:sz w:val="22"/>
          <w:szCs w:val="22"/>
        </w:rPr>
        <w:t>A commitment to involve residents in any forum where policy is being developed</w:t>
      </w:r>
      <w:r>
        <w:rPr>
          <w:rFonts w:ascii="Calibri" w:eastAsia="Times New Roman" w:hAnsi="Calibri"/>
          <w:sz w:val="22"/>
          <w:szCs w:val="22"/>
        </w:rPr>
        <w:t xml:space="preserve"> as well as proposals developing a management strategy. This should include changes to the Local Plan, the development of Supplementary Planning Documents, including especially planning briefs for major sites, </w:t>
      </w:r>
      <w:r>
        <w:rPr>
          <w:rFonts w:ascii="Calibri" w:eastAsia="Times New Roman" w:hAnsi="Calibri"/>
          <w:b/>
          <w:bCs/>
          <w:sz w:val="22"/>
          <w:szCs w:val="22"/>
          <w:u w:val="single"/>
        </w:rPr>
        <w:t>and</w:t>
      </w:r>
      <w:r>
        <w:rPr>
          <w:rFonts w:ascii="Calibri" w:eastAsia="Times New Roman" w:hAnsi="Calibri"/>
          <w:sz w:val="22"/>
          <w:szCs w:val="22"/>
        </w:rPr>
        <w:t xml:space="preserve"> management strategies for town centres. </w:t>
      </w:r>
    </w:p>
    <w:p w:rsidR="00484F8C" w:rsidRDefault="00484F8C" w:rsidP="00484F8C">
      <w:pPr>
        <w:numPr>
          <w:ilvl w:val="0"/>
          <w:numId w:val="5"/>
        </w:numPr>
        <w:rPr>
          <w:rFonts w:eastAsia="Times New Roman"/>
        </w:rPr>
      </w:pPr>
      <w:r>
        <w:rPr>
          <w:rFonts w:ascii="Calibri" w:eastAsia="Times New Roman" w:hAnsi="Calibri"/>
          <w:b/>
          <w:bCs/>
          <w:sz w:val="22"/>
          <w:szCs w:val="22"/>
        </w:rPr>
        <w:t>More needs to be said about the role of residents’ associations, amenity societies and the two main civic societies</w:t>
      </w:r>
      <w:r>
        <w:rPr>
          <w:rFonts w:ascii="Calibri" w:eastAsia="Times New Roman" w:hAnsi="Calibri"/>
          <w:sz w:val="22"/>
          <w:szCs w:val="22"/>
        </w:rPr>
        <w:t>, the Kensington Society and the Chelsea Society. The general impression is that it is only about opportunities for individuals.  </w:t>
      </w:r>
    </w:p>
    <w:p w:rsidR="00484F8C" w:rsidRDefault="00484F8C" w:rsidP="00484F8C">
      <w:pPr>
        <w:rPr>
          <w:rFonts w:asciiTheme="minorHAnsi" w:hAnsiTheme="minorHAnsi" w:cstheme="minorBidi"/>
          <w:b/>
          <w:bCs/>
          <w:color w:val="1F497D" w:themeColor="dark2"/>
          <w:sz w:val="22"/>
          <w:szCs w:val="22"/>
        </w:rPr>
      </w:pPr>
    </w:p>
    <w:p w:rsidR="00484F8C" w:rsidRDefault="00484F8C" w:rsidP="00484F8C">
      <w:pPr>
        <w:rPr>
          <w:rFonts w:eastAsia="Times New Roman"/>
        </w:rPr>
      </w:pPr>
      <w:r>
        <w:rPr>
          <w:rFonts w:ascii="Calibri" w:eastAsia="Times New Roman" w:hAnsi="Calibri"/>
          <w:b/>
          <w:bCs/>
          <w:sz w:val="22"/>
          <w:szCs w:val="22"/>
        </w:rPr>
        <w:t>Pre-application stage:</w:t>
      </w:r>
    </w:p>
    <w:p w:rsidR="00484F8C" w:rsidRDefault="00484F8C" w:rsidP="00484F8C">
      <w:pPr>
        <w:numPr>
          <w:ilvl w:val="0"/>
          <w:numId w:val="6"/>
        </w:numPr>
        <w:rPr>
          <w:rFonts w:eastAsia="Times New Roman"/>
        </w:rPr>
      </w:pPr>
      <w:r>
        <w:rPr>
          <w:rFonts w:ascii="Calibri" w:eastAsia="Times New Roman" w:hAnsi="Calibri"/>
          <w:sz w:val="22"/>
          <w:szCs w:val="22"/>
        </w:rPr>
        <w:lastRenderedPageBreak/>
        <w:t xml:space="preserve">Residents’ comments at the pre-application stage should be able to be received by the Planning Department – if “stored up” until there is a formal application residents are relegated to the role of objectors. </w:t>
      </w:r>
    </w:p>
    <w:p w:rsidR="00484F8C" w:rsidRDefault="00484F8C" w:rsidP="00484F8C">
      <w:pPr>
        <w:numPr>
          <w:ilvl w:val="0"/>
          <w:numId w:val="7"/>
        </w:numPr>
        <w:rPr>
          <w:rFonts w:eastAsia="Times New Roman"/>
        </w:rPr>
      </w:pPr>
      <w:r>
        <w:rPr>
          <w:rFonts w:ascii="Calibri" w:eastAsia="Times New Roman" w:hAnsi="Calibri"/>
          <w:sz w:val="22"/>
          <w:szCs w:val="22"/>
        </w:rPr>
        <w:t xml:space="preserve">Pre-application advice should become public </w:t>
      </w:r>
      <w:r>
        <w:rPr>
          <w:rFonts w:ascii="Calibri" w:eastAsia="Times New Roman" w:hAnsi="Calibri"/>
          <w:sz w:val="22"/>
          <w:szCs w:val="22"/>
          <w:u w:val="single"/>
        </w:rPr>
        <w:t>once an application has been made</w:t>
      </w:r>
      <w:r>
        <w:rPr>
          <w:rFonts w:ascii="Calibri" w:eastAsia="Times New Roman" w:hAnsi="Calibri"/>
          <w:sz w:val="22"/>
          <w:szCs w:val="22"/>
        </w:rPr>
        <w:t xml:space="preserve"> – it should be part of the publicly-accessible “case file” - ie on the website.</w:t>
      </w:r>
    </w:p>
    <w:p w:rsidR="00484F8C" w:rsidRDefault="00484F8C" w:rsidP="00484F8C">
      <w:pPr>
        <w:rPr>
          <w:rFonts w:ascii="Calibri" w:eastAsia="Times New Roman" w:hAnsi="Calibri"/>
          <w:b/>
          <w:bCs/>
          <w:color w:val="1F497D" w:themeColor="dark2"/>
          <w:sz w:val="22"/>
          <w:szCs w:val="22"/>
        </w:rPr>
      </w:pPr>
    </w:p>
    <w:p w:rsidR="00484F8C" w:rsidRDefault="00484F8C" w:rsidP="00484F8C">
      <w:pPr>
        <w:rPr>
          <w:rFonts w:eastAsia="Times New Roman"/>
        </w:rPr>
      </w:pPr>
      <w:r>
        <w:rPr>
          <w:rFonts w:ascii="Calibri" w:eastAsia="Times New Roman" w:hAnsi="Calibri"/>
          <w:b/>
          <w:bCs/>
          <w:sz w:val="22"/>
          <w:szCs w:val="22"/>
        </w:rPr>
        <w:t>Application stage:</w:t>
      </w:r>
    </w:p>
    <w:p w:rsidR="00484F8C" w:rsidRDefault="00484F8C" w:rsidP="00484F8C">
      <w:pPr>
        <w:numPr>
          <w:ilvl w:val="0"/>
          <w:numId w:val="8"/>
        </w:numPr>
        <w:rPr>
          <w:rFonts w:eastAsia="Times New Roman"/>
        </w:rPr>
      </w:pPr>
      <w:r>
        <w:rPr>
          <w:rFonts w:ascii="Calibri" w:eastAsia="Times New Roman" w:hAnsi="Calibri"/>
          <w:sz w:val="22"/>
          <w:szCs w:val="22"/>
        </w:rPr>
        <w:t xml:space="preserve">where are comments on proposals kept? On the case file? </w:t>
      </w:r>
    </w:p>
    <w:p w:rsidR="00484F8C" w:rsidRDefault="00484F8C" w:rsidP="00484F8C">
      <w:pPr>
        <w:numPr>
          <w:ilvl w:val="0"/>
          <w:numId w:val="8"/>
        </w:numPr>
        <w:rPr>
          <w:rFonts w:eastAsia="Times New Roman"/>
        </w:rPr>
      </w:pPr>
      <w:r>
        <w:rPr>
          <w:rFonts w:ascii="Calibri" w:eastAsia="Times New Roman" w:hAnsi="Calibri"/>
          <w:sz w:val="22"/>
          <w:szCs w:val="22"/>
        </w:rPr>
        <w:t xml:space="preserve">need to make clear in para 2.21 that “late” responses </w:t>
      </w:r>
      <w:r>
        <w:rPr>
          <w:rFonts w:ascii="Calibri" w:eastAsia="Times New Roman" w:hAnsi="Calibri"/>
          <w:b/>
          <w:bCs/>
          <w:sz w:val="22"/>
          <w:szCs w:val="22"/>
          <w:u w:val="single"/>
        </w:rPr>
        <w:t>will</w:t>
      </w:r>
      <w:r>
        <w:rPr>
          <w:rFonts w:ascii="Calibri" w:eastAsia="Times New Roman" w:hAnsi="Calibri"/>
          <w:sz w:val="22"/>
          <w:szCs w:val="22"/>
        </w:rPr>
        <w:t xml:space="preserve"> be taken into account if the officer’s report has not been completed – see para 2.47). </w:t>
      </w:r>
    </w:p>
    <w:p w:rsidR="00484F8C" w:rsidRDefault="00484F8C" w:rsidP="00484F8C">
      <w:pPr>
        <w:numPr>
          <w:ilvl w:val="0"/>
          <w:numId w:val="8"/>
        </w:numPr>
        <w:rPr>
          <w:rFonts w:eastAsia="Times New Roman"/>
        </w:rPr>
      </w:pPr>
      <w:r>
        <w:rPr>
          <w:rFonts w:ascii="Calibri" w:eastAsia="Times New Roman" w:hAnsi="Calibri"/>
          <w:sz w:val="22"/>
          <w:szCs w:val="22"/>
        </w:rPr>
        <w:t>need to make clear that any documents which informed the officer’s report are public documents and should be accessible to the public (including representations)  </w:t>
      </w:r>
    </w:p>
    <w:p w:rsidR="00484F8C" w:rsidRDefault="00484F8C" w:rsidP="00484F8C">
      <w:pPr>
        <w:rPr>
          <w:rFonts w:ascii="Calibri" w:eastAsia="Times New Roman" w:hAnsi="Calibri"/>
          <w:b/>
          <w:bCs/>
          <w:color w:val="1F497D" w:themeColor="dark2"/>
          <w:sz w:val="22"/>
          <w:szCs w:val="22"/>
        </w:rPr>
      </w:pPr>
    </w:p>
    <w:p w:rsidR="00484F8C" w:rsidRDefault="00484F8C" w:rsidP="00484F8C">
      <w:pPr>
        <w:rPr>
          <w:rFonts w:eastAsia="Times New Roman"/>
        </w:rPr>
      </w:pPr>
      <w:r>
        <w:rPr>
          <w:rFonts w:ascii="Calibri" w:eastAsia="Times New Roman" w:hAnsi="Calibri"/>
          <w:b/>
          <w:bCs/>
          <w:sz w:val="22"/>
          <w:szCs w:val="22"/>
        </w:rPr>
        <w:t>Decision stage:</w:t>
      </w:r>
    </w:p>
    <w:p w:rsidR="00484F8C" w:rsidRDefault="00484F8C" w:rsidP="00484F8C">
      <w:pPr>
        <w:numPr>
          <w:ilvl w:val="0"/>
          <w:numId w:val="9"/>
        </w:numPr>
        <w:rPr>
          <w:rFonts w:eastAsia="Times New Roman"/>
        </w:rPr>
      </w:pPr>
      <w:r>
        <w:rPr>
          <w:rFonts w:ascii="Calibri" w:eastAsia="Times New Roman" w:hAnsi="Calibri"/>
          <w:sz w:val="22"/>
          <w:szCs w:val="22"/>
        </w:rPr>
        <w:t xml:space="preserve">need to make clear that applications proposed to be granted but for which there are three or more objections will be decided by the Planning Applications Committee (para 2.36) </w:t>
      </w:r>
    </w:p>
    <w:p w:rsidR="00484F8C" w:rsidRDefault="00484F8C" w:rsidP="00484F8C">
      <w:pPr>
        <w:numPr>
          <w:ilvl w:val="0"/>
          <w:numId w:val="9"/>
        </w:numPr>
        <w:rPr>
          <w:rFonts w:eastAsia="Times New Roman"/>
        </w:rPr>
      </w:pPr>
      <w:r>
        <w:rPr>
          <w:rFonts w:ascii="Calibri" w:eastAsia="Times New Roman" w:hAnsi="Calibri"/>
          <w:sz w:val="22"/>
          <w:szCs w:val="22"/>
        </w:rPr>
        <w:t xml:space="preserve">addressing the Committee – this needs to be more flexible when representations are made by residents’ associations and amenity societies (para 2.41)    </w:t>
      </w:r>
    </w:p>
    <w:p w:rsidR="00484F8C" w:rsidRDefault="00484F8C" w:rsidP="00484F8C">
      <w:pPr>
        <w:numPr>
          <w:ilvl w:val="0"/>
          <w:numId w:val="9"/>
        </w:numPr>
        <w:rPr>
          <w:rFonts w:eastAsia="Times New Roman"/>
        </w:rPr>
      </w:pPr>
      <w:r>
        <w:rPr>
          <w:rFonts w:ascii="Calibri" w:eastAsia="Times New Roman" w:hAnsi="Calibri"/>
          <w:sz w:val="22"/>
          <w:szCs w:val="22"/>
        </w:rPr>
        <w:t xml:space="preserve">need to be clear that there is no right for the applicant to address the Committee other than in response to objectors who have been given permission to speak (para 2.43) </w:t>
      </w:r>
    </w:p>
    <w:p w:rsidR="00484F8C" w:rsidRDefault="00484F8C" w:rsidP="00484F8C">
      <w:pPr>
        <w:numPr>
          <w:ilvl w:val="0"/>
          <w:numId w:val="9"/>
        </w:numPr>
        <w:rPr>
          <w:rFonts w:eastAsia="Times New Roman"/>
        </w:rPr>
      </w:pPr>
      <w:r>
        <w:rPr>
          <w:rFonts w:ascii="Calibri" w:eastAsia="Times New Roman" w:hAnsi="Calibri"/>
          <w:sz w:val="22"/>
          <w:szCs w:val="22"/>
        </w:rPr>
        <w:t xml:space="preserve">the ban on “new matters” should not preclude comments on the content and factual accuracy of the officer’s report (para 2.47) </w:t>
      </w:r>
    </w:p>
    <w:p w:rsidR="00484F8C" w:rsidRDefault="00484F8C" w:rsidP="00484F8C">
      <w:pPr>
        <w:numPr>
          <w:ilvl w:val="0"/>
          <w:numId w:val="9"/>
        </w:numPr>
        <w:rPr>
          <w:rFonts w:eastAsia="Times New Roman"/>
        </w:rPr>
      </w:pPr>
      <w:r>
        <w:rPr>
          <w:rFonts w:ascii="Calibri" w:eastAsia="Times New Roman" w:hAnsi="Calibri"/>
          <w:sz w:val="22"/>
          <w:szCs w:val="22"/>
        </w:rPr>
        <w:t xml:space="preserve">the need to publish not only the conditions, but also S106 agreements, etc to which an approval is subject (para 2.49) </w:t>
      </w:r>
      <w:r>
        <w:rPr>
          <w:rFonts w:ascii="Calibri" w:eastAsia="Times New Roman" w:hAnsi="Calibri"/>
          <w:b/>
          <w:bCs/>
          <w:sz w:val="22"/>
          <w:szCs w:val="22"/>
        </w:rPr>
        <w:t>NB: there is an issue here about how the requirement</w:t>
      </w:r>
      <w:r>
        <w:rPr>
          <w:rFonts w:ascii="Calibri" w:eastAsia="Times New Roman" w:hAnsi="Calibri"/>
          <w:sz w:val="22"/>
          <w:szCs w:val="22"/>
        </w:rPr>
        <w:t xml:space="preserve"> </w:t>
      </w:r>
      <w:r>
        <w:rPr>
          <w:rFonts w:ascii="Calibri" w:eastAsia="Times New Roman" w:hAnsi="Calibri"/>
          <w:b/>
          <w:bCs/>
          <w:sz w:val="22"/>
          <w:szCs w:val="22"/>
        </w:rPr>
        <w:t>to show these on the website is currently performed and how it is linked to the record of the decision.</w:t>
      </w:r>
    </w:p>
    <w:p w:rsidR="00484F8C" w:rsidRDefault="00484F8C" w:rsidP="00484F8C">
      <w:pPr>
        <w:rPr>
          <w:rFonts w:eastAsia="Times New Roman"/>
        </w:rPr>
      </w:pPr>
      <w:r>
        <w:rPr>
          <w:rFonts w:ascii="Calibri" w:eastAsia="Times New Roman" w:hAnsi="Calibri"/>
          <w:b/>
          <w:bCs/>
          <w:sz w:val="22"/>
          <w:szCs w:val="22"/>
        </w:rPr>
        <w:br/>
        <w:t>Appeals:</w:t>
      </w:r>
    </w:p>
    <w:p w:rsidR="00484F8C" w:rsidRDefault="00484F8C" w:rsidP="00484F8C">
      <w:pPr>
        <w:numPr>
          <w:ilvl w:val="0"/>
          <w:numId w:val="10"/>
        </w:numPr>
        <w:rPr>
          <w:rFonts w:eastAsia="Times New Roman"/>
        </w:rPr>
      </w:pPr>
      <w:r>
        <w:rPr>
          <w:rFonts w:ascii="Calibri" w:eastAsia="Times New Roman" w:hAnsi="Calibri"/>
          <w:sz w:val="22"/>
          <w:szCs w:val="22"/>
        </w:rPr>
        <w:t>para 2.54 could be more informative about what information the Council provides to assist residents wanting to write to the Planning Inspectorate, perhaps even saying that the case can be accessed easily by putting the case number into the box in the relevant weblink  </w:t>
      </w:r>
      <w:hyperlink r:id="rId6" w:history="1">
        <w:r>
          <w:rPr>
            <w:rStyle w:val="Hyperlink"/>
            <w:rFonts w:ascii="Calibri" w:eastAsia="Times New Roman" w:hAnsi="Calibri"/>
            <w:sz w:val="22"/>
            <w:szCs w:val="22"/>
          </w:rPr>
          <w:t>http://www.pcs.planningportal.gov.uk/pcsportal/casesearch.asp</w:t>
        </w:r>
      </w:hyperlink>
      <w:r>
        <w:rPr>
          <w:rFonts w:ascii="Calibri" w:eastAsia="Times New Roman" w:hAnsi="Calibri"/>
          <w:sz w:val="22"/>
          <w:szCs w:val="22"/>
        </w:rPr>
        <w:t xml:space="preserve">   as the Planning Portal is not customer friendly</w:t>
      </w:r>
    </w:p>
    <w:p w:rsidR="00484F8C" w:rsidRDefault="00484F8C" w:rsidP="00484F8C">
      <w:pPr>
        <w:rPr>
          <w:rFonts w:eastAsia="Times New Roman"/>
        </w:rPr>
      </w:pPr>
      <w:r>
        <w:rPr>
          <w:rFonts w:ascii="Calibri" w:eastAsia="Times New Roman" w:hAnsi="Calibri"/>
          <w:sz w:val="22"/>
          <w:szCs w:val="22"/>
        </w:rPr>
        <w:br/>
      </w:r>
      <w:r>
        <w:rPr>
          <w:rFonts w:ascii="Calibri" w:eastAsia="Times New Roman" w:hAnsi="Calibri"/>
          <w:b/>
          <w:bCs/>
          <w:sz w:val="22"/>
          <w:szCs w:val="22"/>
        </w:rPr>
        <w:t>Enforcement:</w:t>
      </w:r>
    </w:p>
    <w:p w:rsidR="00484F8C" w:rsidRDefault="00484F8C" w:rsidP="00484F8C">
      <w:pPr>
        <w:numPr>
          <w:ilvl w:val="0"/>
          <w:numId w:val="11"/>
        </w:numPr>
        <w:rPr>
          <w:rFonts w:eastAsia="Times New Roman"/>
        </w:rPr>
      </w:pPr>
      <w:r>
        <w:rPr>
          <w:rFonts w:ascii="Calibri" w:eastAsia="Times New Roman" w:hAnsi="Calibri"/>
          <w:sz w:val="22"/>
          <w:szCs w:val="22"/>
        </w:rPr>
        <w:t>make clear that the normal time limits for enforcement do not apply to works to listed buildings</w:t>
      </w:r>
    </w:p>
    <w:p w:rsidR="00484F8C" w:rsidRDefault="00484F8C" w:rsidP="00484F8C">
      <w:pPr>
        <w:rPr>
          <w:rFonts w:eastAsia="Times New Roman"/>
        </w:rPr>
      </w:pPr>
      <w:r>
        <w:rPr>
          <w:rFonts w:ascii="Calibri" w:eastAsia="Times New Roman" w:hAnsi="Calibri"/>
          <w:sz w:val="22"/>
          <w:szCs w:val="22"/>
        </w:rPr>
        <w:br/>
      </w:r>
      <w:r>
        <w:rPr>
          <w:rFonts w:ascii="Calibri" w:eastAsia="Times New Roman" w:hAnsi="Calibri"/>
          <w:b/>
          <w:bCs/>
          <w:sz w:val="22"/>
          <w:szCs w:val="22"/>
        </w:rPr>
        <w:t>Planning Policy:</w:t>
      </w:r>
    </w:p>
    <w:p w:rsidR="00484F8C" w:rsidRDefault="00484F8C" w:rsidP="00484F8C">
      <w:pPr>
        <w:numPr>
          <w:ilvl w:val="0"/>
          <w:numId w:val="12"/>
        </w:numPr>
        <w:rPr>
          <w:rFonts w:eastAsia="Times New Roman"/>
        </w:rPr>
      </w:pPr>
      <w:r>
        <w:rPr>
          <w:rFonts w:ascii="Calibri" w:eastAsia="Times New Roman" w:hAnsi="Calibri"/>
          <w:b/>
          <w:bCs/>
          <w:sz w:val="22"/>
          <w:szCs w:val="22"/>
        </w:rPr>
        <w:t xml:space="preserve">public deposit </w:t>
      </w:r>
      <w:r>
        <w:rPr>
          <w:rFonts w:ascii="Calibri" w:eastAsia="Times New Roman" w:hAnsi="Calibri"/>
          <w:sz w:val="22"/>
          <w:szCs w:val="22"/>
        </w:rPr>
        <w:t xml:space="preserve">includes depositing a physical document in the Central Library (and other libraries) for public inspection – this also applies to Committee Agenda and Reports and key Decisions – requirements of the Local Government (Access to Information) Act </w:t>
      </w:r>
    </w:p>
    <w:p w:rsidR="00484F8C" w:rsidRDefault="00484F8C" w:rsidP="00484F8C">
      <w:pPr>
        <w:rPr>
          <w:rFonts w:eastAsia="Times New Roman"/>
        </w:rPr>
      </w:pPr>
      <w:r>
        <w:rPr>
          <w:rFonts w:ascii="Calibri" w:eastAsia="Times New Roman" w:hAnsi="Calibri"/>
          <w:sz w:val="22"/>
          <w:szCs w:val="22"/>
        </w:rPr>
        <w:br/>
      </w:r>
    </w:p>
    <w:p w:rsidR="0096509C" w:rsidRDefault="00A70DDD"/>
    <w:sectPr w:rsidR="0096509C" w:rsidSect="00BB1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CA8"/>
    <w:multiLevelType w:val="multilevel"/>
    <w:tmpl w:val="95E63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9F2DF4"/>
    <w:multiLevelType w:val="multilevel"/>
    <w:tmpl w:val="6B7CF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1053A3"/>
    <w:multiLevelType w:val="multilevel"/>
    <w:tmpl w:val="9E40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D41923"/>
    <w:multiLevelType w:val="multilevel"/>
    <w:tmpl w:val="1AAE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F92DBF"/>
    <w:multiLevelType w:val="multilevel"/>
    <w:tmpl w:val="4308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0B7894"/>
    <w:multiLevelType w:val="multilevel"/>
    <w:tmpl w:val="447EE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13637A"/>
    <w:multiLevelType w:val="multilevel"/>
    <w:tmpl w:val="FAC02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9842065"/>
    <w:multiLevelType w:val="multilevel"/>
    <w:tmpl w:val="1608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0736382"/>
    <w:multiLevelType w:val="multilevel"/>
    <w:tmpl w:val="645CA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89178D"/>
    <w:multiLevelType w:val="multilevel"/>
    <w:tmpl w:val="404C3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920233C"/>
    <w:multiLevelType w:val="multilevel"/>
    <w:tmpl w:val="BDD8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834CCB"/>
    <w:multiLevelType w:val="multilevel"/>
    <w:tmpl w:val="7DB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6"/>
  </w:num>
  <w:num w:numId="5">
    <w:abstractNumId w:val="8"/>
  </w:num>
  <w:num w:numId="6">
    <w:abstractNumId w:val="9"/>
  </w:num>
  <w:num w:numId="7">
    <w:abstractNumId w:val="11"/>
  </w:num>
  <w:num w:numId="8">
    <w:abstractNumId w:val="5"/>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8C"/>
    <w:rsid w:val="00484F8C"/>
    <w:rsid w:val="00A70D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8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s.planningportal.gov.uk/pcsportal/casesearch.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2014-06-04T09:16:00Z</dcterms:created>
  <dcterms:modified xsi:type="dcterms:W3CDTF">2014-06-04T09:16:00Z</dcterms:modified>
</cp:coreProperties>
</file>